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0974A46B"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14382B">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6099" w14:textId="77777777" w:rsidR="0014382B" w:rsidRDefault="0014382B" w:rsidP="006E1CAF">
      <w:pPr>
        <w:spacing w:after="0" w:line="240" w:lineRule="auto"/>
      </w:pPr>
      <w:r>
        <w:separator/>
      </w:r>
    </w:p>
  </w:endnote>
  <w:endnote w:type="continuationSeparator" w:id="0">
    <w:p w14:paraId="74E9B64E" w14:textId="77777777" w:rsidR="0014382B" w:rsidRDefault="0014382B" w:rsidP="006E1CAF">
      <w:pPr>
        <w:spacing w:after="0" w:line="240" w:lineRule="auto"/>
      </w:pPr>
      <w:r>
        <w:continuationSeparator/>
      </w:r>
    </w:p>
  </w:endnote>
  <w:endnote w:type="continuationNotice" w:id="1">
    <w:p w14:paraId="3E5F3292" w14:textId="77777777" w:rsidR="0014382B" w:rsidRDefault="00143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1B90" w14:textId="77777777" w:rsidR="0014382B" w:rsidRDefault="0014382B" w:rsidP="006E1CAF">
      <w:pPr>
        <w:spacing w:after="0" w:line="240" w:lineRule="auto"/>
      </w:pPr>
      <w:r>
        <w:separator/>
      </w:r>
    </w:p>
  </w:footnote>
  <w:footnote w:type="continuationSeparator" w:id="0">
    <w:p w14:paraId="43F57AD7" w14:textId="77777777" w:rsidR="0014382B" w:rsidRDefault="0014382B" w:rsidP="006E1CAF">
      <w:pPr>
        <w:spacing w:after="0" w:line="240" w:lineRule="auto"/>
      </w:pPr>
      <w:r>
        <w:continuationSeparator/>
      </w:r>
    </w:p>
  </w:footnote>
  <w:footnote w:type="continuationNotice" w:id="1">
    <w:p w14:paraId="4A9F8D29" w14:textId="77777777" w:rsidR="0014382B" w:rsidRDefault="00143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4A25984B" w14:textId="77777777" w:rsidR="00166972" w:rsidRPr="009D4158" w:rsidRDefault="00166972" w:rsidP="00166972">
    <w:pPr>
      <w:pStyle w:val="Default"/>
      <w:keepNext/>
      <w:keepLines/>
      <w:spacing w:line="360" w:lineRule="auto"/>
      <w:jc w:val="center"/>
      <w:rPr>
        <w:rFonts w:ascii="Tahoma" w:hAnsi="Tahoma" w:cs="Tahoma"/>
        <w:b/>
        <w:bCs/>
        <w:color w:val="auto"/>
        <w:sz w:val="20"/>
        <w:szCs w:val="20"/>
        <w:lang w:val="es-ES"/>
      </w:rPr>
    </w:pPr>
    <w:r w:rsidRPr="009D4158">
      <w:rPr>
        <w:rFonts w:ascii="Tahoma" w:hAnsi="Tahoma" w:cs="Tahoma"/>
        <w:b/>
        <w:bCs/>
        <w:color w:val="auto"/>
        <w:sz w:val="20"/>
        <w:szCs w:val="20"/>
        <w:lang w:val="es-ES"/>
      </w:rPr>
      <w:t xml:space="preserve">INVITACIÓN </w:t>
    </w:r>
    <w:r>
      <w:rPr>
        <w:rFonts w:ascii="Tahoma" w:hAnsi="Tahoma" w:cs="Tahoma"/>
        <w:b/>
        <w:bCs/>
        <w:color w:val="auto"/>
        <w:sz w:val="20"/>
        <w:szCs w:val="20"/>
        <w:lang w:val="es-ES"/>
      </w:rPr>
      <w:t>ABIERTA</w:t>
    </w:r>
    <w:r w:rsidRPr="009D4158">
      <w:rPr>
        <w:rFonts w:ascii="Tahoma" w:hAnsi="Tahoma" w:cs="Tahoma"/>
        <w:b/>
        <w:bCs/>
        <w:color w:val="auto"/>
        <w:sz w:val="20"/>
        <w:szCs w:val="20"/>
        <w:lang w:val="es-ES"/>
      </w:rPr>
      <w:t xml:space="preserve"> No. </w:t>
    </w:r>
    <w:r>
      <w:rPr>
        <w:rFonts w:ascii="Tahoma" w:hAnsi="Tahoma" w:cs="Tahoma"/>
        <w:b/>
        <w:bCs/>
        <w:color w:val="auto"/>
        <w:sz w:val="20"/>
        <w:szCs w:val="20"/>
        <w:lang w:val="es-ES"/>
      </w:rPr>
      <w:t>002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382B"/>
    <w:rsid w:val="00144E3B"/>
    <w:rsid w:val="00146B3E"/>
    <w:rsid w:val="0014779F"/>
    <w:rsid w:val="001477F0"/>
    <w:rsid w:val="0015054E"/>
    <w:rsid w:val="0015239F"/>
    <w:rsid w:val="00153B5E"/>
    <w:rsid w:val="00155617"/>
    <w:rsid w:val="00156259"/>
    <w:rsid w:val="00162A64"/>
    <w:rsid w:val="00163E26"/>
    <w:rsid w:val="00163EC7"/>
    <w:rsid w:val="00166972"/>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00A"/>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1D6A"/>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6</cp:revision>
  <dcterms:created xsi:type="dcterms:W3CDTF">2023-09-25T17:54:00Z</dcterms:created>
  <dcterms:modified xsi:type="dcterms:W3CDTF">2024-02-21T20:33:00Z</dcterms:modified>
</cp:coreProperties>
</file>